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18" w:rsidRPr="00440C18" w:rsidRDefault="00440C18" w:rsidP="00440C18">
      <w:pPr>
        <w:ind w:right="450"/>
        <w:rPr>
          <w:rFonts w:asciiTheme="majorHAnsi" w:hAnsiTheme="majorHAnsi" w:cs="Arial"/>
          <w:b/>
          <w:sz w:val="36"/>
          <w:szCs w:val="36"/>
        </w:rPr>
      </w:pPr>
      <w:r w:rsidRPr="00440C18">
        <w:rPr>
          <w:rFonts w:asciiTheme="majorHAnsi" w:hAnsiTheme="majorHAnsi" w:cs="Arial"/>
          <w:b/>
          <w:sz w:val="36"/>
          <w:szCs w:val="36"/>
        </w:rPr>
        <w:t xml:space="preserve">2016 </w:t>
      </w:r>
      <w:r w:rsidR="00A04794">
        <w:rPr>
          <w:rFonts w:asciiTheme="majorHAnsi" w:hAnsiTheme="majorHAnsi" w:cs="Arial"/>
          <w:b/>
          <w:sz w:val="36"/>
          <w:szCs w:val="36"/>
        </w:rPr>
        <w:t xml:space="preserve">Phase II </w:t>
      </w:r>
      <w:r w:rsidRPr="00440C18">
        <w:rPr>
          <w:rFonts w:asciiTheme="majorHAnsi" w:hAnsiTheme="majorHAnsi" w:cs="Arial"/>
          <w:b/>
          <w:sz w:val="36"/>
          <w:szCs w:val="36"/>
        </w:rPr>
        <w:t>Crop Report Analysis</w:t>
      </w:r>
    </w:p>
    <w:p w:rsidR="00440C18" w:rsidRPr="00CD00FE" w:rsidRDefault="00440C18" w:rsidP="00440C18">
      <w:pPr>
        <w:ind w:right="450"/>
        <w:rPr>
          <w:rFonts w:asciiTheme="majorHAnsi" w:hAnsiTheme="majorHAnsi" w:cs="Arial"/>
        </w:rPr>
      </w:pPr>
      <w:r w:rsidRPr="00CD00FE">
        <w:rPr>
          <w:rFonts w:asciiTheme="majorHAnsi" w:hAnsiTheme="majorHAnsi" w:cs="Arial"/>
        </w:rPr>
        <w:t xml:space="preserve">June </w:t>
      </w:r>
      <w:r>
        <w:rPr>
          <w:rFonts w:asciiTheme="majorHAnsi" w:hAnsiTheme="majorHAnsi" w:cs="Arial"/>
        </w:rPr>
        <w:t>8</w:t>
      </w:r>
      <w:r w:rsidRPr="00CD00FE">
        <w:rPr>
          <w:rFonts w:asciiTheme="majorHAnsi" w:hAnsiTheme="majorHAnsi" w:cs="Arial"/>
        </w:rPr>
        <w:t>, 2017</w:t>
      </w:r>
    </w:p>
    <w:p w:rsidR="00440C18" w:rsidRDefault="00440C18" w:rsidP="00440C18">
      <w:pPr>
        <w:ind w:right="450"/>
        <w:rPr>
          <w:rFonts w:asciiTheme="majorHAnsi" w:hAnsiTheme="majorHAnsi" w:cs="Arial"/>
        </w:rPr>
      </w:pPr>
      <w:r w:rsidRPr="00CD00FE">
        <w:rPr>
          <w:rFonts w:asciiTheme="majorHAnsi" w:hAnsiTheme="majorHAnsi" w:cs="Arial"/>
        </w:rPr>
        <w:t>RE:  2016 Crop Report Data</w:t>
      </w:r>
    </w:p>
    <w:p w:rsidR="007611C7" w:rsidRPr="00CD00FE" w:rsidRDefault="007611C7" w:rsidP="00440C18">
      <w:pPr>
        <w:ind w:right="450"/>
        <w:rPr>
          <w:rFonts w:asciiTheme="majorHAnsi" w:hAnsiTheme="majorHAnsi" w:cs="Arial"/>
        </w:rPr>
      </w:pPr>
    </w:p>
    <w:p w:rsidR="00440C18" w:rsidRDefault="00440C18" w:rsidP="00440C18">
      <w:pPr>
        <w:ind w:right="450"/>
        <w:rPr>
          <w:rFonts w:asciiTheme="majorHAnsi" w:hAnsiTheme="majorHAnsi" w:cs="Arial"/>
        </w:rPr>
      </w:pPr>
      <w:r w:rsidRPr="00CD00FE">
        <w:rPr>
          <w:rFonts w:asciiTheme="majorHAnsi" w:hAnsiTheme="majorHAnsi" w:cs="Arial"/>
        </w:rPr>
        <w:t>The following information was derived from ov</w:t>
      </w:r>
      <w:r>
        <w:rPr>
          <w:rFonts w:asciiTheme="majorHAnsi" w:hAnsiTheme="majorHAnsi" w:cs="Arial"/>
        </w:rPr>
        <w:t xml:space="preserve">er 900 Phase II crop reports that were submitted online, through the Districts web site.  I sorted the data and threw out any data that was incomplete or was outside realistic parameters of crop production.  The main analysis points are nitrogen use in corn and all water use.  The accuracy of this information is completely dependent on those supplying the information.  It was easy to pick out producers that didn’t want to report accurate nitrogen or irrigation water numbers as it was those that did not fill out the forms themselves.  The irrigation information is based on well capacities and hours ran due to limited numbers of flow meters.  However, it is the best information that we have and the trends should be accurate information that decisions can be based on.    </w:t>
      </w:r>
      <w:r w:rsidRPr="00CD00FE">
        <w:rPr>
          <w:rFonts w:asciiTheme="majorHAnsi" w:hAnsiTheme="majorHAnsi" w:cs="Arial"/>
        </w:rPr>
        <w:br w:type="textWrapping" w:clear="all"/>
      </w:r>
    </w:p>
    <w:p w:rsidR="00440C18" w:rsidRPr="008D50C3" w:rsidRDefault="00440C18" w:rsidP="00440C18">
      <w:pPr>
        <w:ind w:right="450"/>
        <w:rPr>
          <w:rFonts w:asciiTheme="majorHAnsi" w:hAnsiTheme="majorHAnsi" w:cs="Arial"/>
          <w:b/>
          <w:sz w:val="28"/>
          <w:szCs w:val="28"/>
        </w:rPr>
      </w:pPr>
      <w:r w:rsidRPr="008D50C3">
        <w:rPr>
          <w:rFonts w:asciiTheme="majorHAnsi" w:hAnsiTheme="majorHAnsi" w:cs="Arial"/>
          <w:b/>
          <w:sz w:val="28"/>
          <w:szCs w:val="28"/>
        </w:rPr>
        <w:t>Acres Reported</w:t>
      </w:r>
    </w:p>
    <w:p w:rsidR="00440C18" w:rsidRDefault="00440C18" w:rsidP="00440C18">
      <w:pPr>
        <w:ind w:right="450"/>
        <w:rPr>
          <w:rFonts w:asciiTheme="majorHAnsi" w:hAnsiTheme="majorHAnsi" w:cs="Arial"/>
        </w:rPr>
      </w:pPr>
      <w:r>
        <w:rPr>
          <w:rFonts w:asciiTheme="majorHAnsi" w:hAnsiTheme="majorHAnsi" w:cs="Arial"/>
        </w:rPr>
        <w:t>Corn is king and represented over 70% of the over 110,000 Phase II acres reported.  ¼ of the acres were in soybeans leaving 5% of the acres in specialty crops or corn grown for silage/</w:t>
      </w:r>
      <w:proofErr w:type="spellStart"/>
      <w:r>
        <w:rPr>
          <w:rFonts w:asciiTheme="majorHAnsi" w:hAnsiTheme="majorHAnsi" w:cs="Arial"/>
        </w:rPr>
        <w:t>earlage</w:t>
      </w:r>
      <w:proofErr w:type="spellEnd"/>
      <w:r>
        <w:rPr>
          <w:rFonts w:asciiTheme="majorHAnsi" w:hAnsiTheme="majorHAnsi" w:cs="Arial"/>
        </w:rPr>
        <w:t xml:space="preserve"> (Figure 1).  Figure 2 shows 45% of the corn was planted after a non corn crop the previous year.  This would indicate that a majority of corn acres are involved in a crop rotation of some kind.  The most popular being some type of corn-soybean rotation.  No cover crop or consultant information is integrated in the reporting form which I would like to see added for future use.</w:t>
      </w:r>
    </w:p>
    <w:p w:rsidR="00440C18" w:rsidRDefault="00440C18" w:rsidP="00440C18">
      <w:pPr>
        <w:rPr>
          <w:rFonts w:asciiTheme="majorHAnsi" w:hAnsiTheme="majorHAnsi" w:cs="Arial"/>
        </w:rPr>
      </w:pPr>
      <w:r>
        <w:rPr>
          <w:rFonts w:asciiTheme="majorHAnsi" w:hAnsiTheme="majorHAnsi" w:cs="Arial"/>
        </w:rPr>
        <w:t xml:space="preserve"> </w:t>
      </w:r>
      <w:r w:rsidRPr="007D5A32">
        <w:rPr>
          <w:rFonts w:asciiTheme="majorHAnsi" w:hAnsiTheme="majorHAnsi" w:cs="Arial"/>
          <w:noProof/>
        </w:rPr>
        <w:drawing>
          <wp:inline distT="0" distB="0" distL="0" distR="0">
            <wp:extent cx="3067050" cy="2409825"/>
            <wp:effectExtent l="19050" t="0" r="19050" b="0"/>
            <wp:docPr id="1"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Pr>
          <w:rFonts w:asciiTheme="majorHAnsi" w:hAnsiTheme="majorHAnsi" w:cs="Arial"/>
        </w:rPr>
        <w:t xml:space="preserve">     </w:t>
      </w:r>
      <w:r w:rsidRPr="009F4A02">
        <w:rPr>
          <w:rFonts w:asciiTheme="majorHAnsi" w:hAnsiTheme="majorHAnsi" w:cs="Arial"/>
          <w:noProof/>
        </w:rPr>
        <w:drawing>
          <wp:inline distT="0" distB="0" distL="0" distR="0">
            <wp:extent cx="3133725" cy="240982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40C18" w:rsidRPr="009F4A02" w:rsidRDefault="00440C18" w:rsidP="00440C18">
      <w:pPr>
        <w:tabs>
          <w:tab w:val="center" w:pos="5184"/>
        </w:tabs>
        <w:rPr>
          <w:rFonts w:asciiTheme="majorHAnsi" w:hAnsiTheme="majorHAnsi" w:cs="Arial"/>
          <w:b/>
        </w:rPr>
      </w:pPr>
      <w:r w:rsidRPr="009F4A02">
        <w:rPr>
          <w:rFonts w:asciiTheme="majorHAnsi" w:hAnsiTheme="majorHAnsi" w:cs="Arial"/>
          <w:b/>
        </w:rPr>
        <w:t>Figure 1</w:t>
      </w:r>
      <w:r>
        <w:rPr>
          <w:rFonts w:asciiTheme="majorHAnsi" w:hAnsiTheme="majorHAnsi" w:cs="Arial"/>
          <w:b/>
        </w:rPr>
        <w:tab/>
        <w:t xml:space="preserve">           Figure 2</w:t>
      </w:r>
    </w:p>
    <w:p w:rsidR="00440C18" w:rsidRDefault="00440C18">
      <w:pPr>
        <w:rPr>
          <w:rFonts w:asciiTheme="majorHAnsi" w:hAnsiTheme="majorHAnsi"/>
          <w:b/>
          <w:sz w:val="28"/>
          <w:szCs w:val="28"/>
        </w:rPr>
      </w:pPr>
    </w:p>
    <w:p w:rsidR="00440C18" w:rsidRDefault="00440C18">
      <w:pPr>
        <w:rPr>
          <w:rFonts w:asciiTheme="majorHAnsi" w:hAnsiTheme="majorHAnsi"/>
          <w:b/>
          <w:sz w:val="28"/>
          <w:szCs w:val="28"/>
        </w:rPr>
      </w:pPr>
    </w:p>
    <w:p w:rsidR="00440C18" w:rsidRDefault="00440C18">
      <w:pPr>
        <w:rPr>
          <w:rFonts w:asciiTheme="majorHAnsi" w:hAnsiTheme="majorHAnsi"/>
          <w:b/>
          <w:sz w:val="28"/>
          <w:szCs w:val="28"/>
        </w:rPr>
      </w:pPr>
    </w:p>
    <w:p w:rsidR="00440C18" w:rsidRDefault="00440C18">
      <w:pPr>
        <w:rPr>
          <w:rFonts w:asciiTheme="majorHAnsi" w:hAnsiTheme="majorHAnsi"/>
          <w:b/>
          <w:sz w:val="28"/>
          <w:szCs w:val="28"/>
        </w:rPr>
      </w:pPr>
    </w:p>
    <w:p w:rsidR="00987E65" w:rsidRDefault="00987E65">
      <w:pPr>
        <w:rPr>
          <w:rFonts w:asciiTheme="majorHAnsi" w:hAnsiTheme="majorHAnsi"/>
          <w:b/>
          <w:sz w:val="28"/>
          <w:szCs w:val="28"/>
        </w:rPr>
      </w:pPr>
      <w:r>
        <w:rPr>
          <w:rFonts w:asciiTheme="majorHAnsi" w:hAnsiTheme="majorHAnsi"/>
          <w:b/>
          <w:sz w:val="28"/>
          <w:szCs w:val="28"/>
        </w:rPr>
        <w:t>Water Usage</w:t>
      </w:r>
    </w:p>
    <w:p w:rsidR="00987E65" w:rsidRPr="00987E65" w:rsidRDefault="00987E65">
      <w:pPr>
        <w:rPr>
          <w:rFonts w:asciiTheme="majorHAnsi" w:hAnsiTheme="majorHAnsi"/>
        </w:rPr>
      </w:pPr>
      <w:r>
        <w:rPr>
          <w:rFonts w:asciiTheme="majorHAnsi" w:hAnsiTheme="majorHAnsi"/>
        </w:rPr>
        <w:t>Irrigation water usage by crop was only significantly different for misc. bean crops</w:t>
      </w:r>
      <w:r w:rsidR="00AB0E63">
        <w:rPr>
          <w:rFonts w:asciiTheme="majorHAnsi" w:hAnsiTheme="majorHAnsi"/>
        </w:rPr>
        <w:t>,</w:t>
      </w:r>
      <w:r>
        <w:rPr>
          <w:rFonts w:asciiTheme="majorHAnsi" w:hAnsiTheme="majorHAnsi"/>
        </w:rPr>
        <w:t xml:space="preserve"> which is a very small number of reported acres.  The majority of reported acres received 13 to 1</w:t>
      </w:r>
      <w:r w:rsidR="005556B9">
        <w:rPr>
          <w:rFonts w:asciiTheme="majorHAnsi" w:hAnsiTheme="majorHAnsi"/>
        </w:rPr>
        <w:t>4 acre inches of water (Figure 3</w:t>
      </w:r>
      <w:r>
        <w:rPr>
          <w:rFonts w:asciiTheme="majorHAnsi" w:hAnsiTheme="majorHAnsi"/>
        </w:rPr>
        <w:t>)</w:t>
      </w:r>
      <w:r w:rsidR="005556B9">
        <w:rPr>
          <w:rFonts w:asciiTheme="majorHAnsi" w:hAnsiTheme="majorHAnsi"/>
        </w:rPr>
        <w:t>.  The water usage averages were down from 2015 when 15.2 acre inches were used</w:t>
      </w:r>
      <w:r w:rsidR="00AB0E63">
        <w:rPr>
          <w:rFonts w:asciiTheme="majorHAnsi" w:hAnsiTheme="majorHAnsi"/>
        </w:rPr>
        <w:t xml:space="preserve">.  One issue with the reporting that I plan to emphasize in Nitrogen Management Training is the simple fact that someday this information may be needed to make important decisions.  For example, the reported average for water used to irrigate corn would have dropped 2.5 inches if the reported zeros would have been </w:t>
      </w:r>
      <w:r w:rsidR="00907EDE">
        <w:rPr>
          <w:rFonts w:asciiTheme="majorHAnsi" w:hAnsiTheme="majorHAnsi"/>
        </w:rPr>
        <w:t>included</w:t>
      </w:r>
      <w:r w:rsidR="00AB0E63">
        <w:rPr>
          <w:rFonts w:asciiTheme="majorHAnsi" w:hAnsiTheme="majorHAnsi"/>
        </w:rPr>
        <w:t xml:space="preserve"> in the average.  That is a huge difference </w:t>
      </w:r>
      <w:r w:rsidR="00907EDE">
        <w:rPr>
          <w:rFonts w:asciiTheme="majorHAnsi" w:hAnsiTheme="majorHAnsi"/>
        </w:rPr>
        <w:t>if you are trying</w:t>
      </w:r>
      <w:r w:rsidR="00AB0E63">
        <w:rPr>
          <w:rFonts w:asciiTheme="majorHAnsi" w:hAnsiTheme="majorHAnsi"/>
        </w:rPr>
        <w:t xml:space="preserve"> to establish a baseline average for any water </w:t>
      </w:r>
      <w:r w:rsidR="00907EDE">
        <w:rPr>
          <w:rFonts w:asciiTheme="majorHAnsi" w:hAnsiTheme="majorHAnsi"/>
        </w:rPr>
        <w:t xml:space="preserve">quantity based decisions.  </w:t>
      </w:r>
    </w:p>
    <w:p w:rsidR="00987E65" w:rsidRDefault="00987E65">
      <w:pPr>
        <w:rPr>
          <w:rFonts w:asciiTheme="majorHAnsi" w:hAnsiTheme="majorHAnsi"/>
          <w:b/>
          <w:sz w:val="28"/>
          <w:szCs w:val="28"/>
        </w:rPr>
      </w:pPr>
      <w:r>
        <w:rPr>
          <w:rFonts w:asciiTheme="majorHAnsi" w:hAnsiTheme="majorHAnsi"/>
          <w:b/>
          <w:sz w:val="28"/>
          <w:szCs w:val="28"/>
        </w:rPr>
        <w:t xml:space="preserve">        </w:t>
      </w:r>
      <w:r w:rsidRPr="00987E65">
        <w:rPr>
          <w:rFonts w:asciiTheme="majorHAnsi" w:hAnsiTheme="majorHAnsi"/>
          <w:b/>
          <w:noProof/>
        </w:rPr>
        <w:drawing>
          <wp:inline distT="0" distB="0" distL="0" distR="0">
            <wp:extent cx="6305550" cy="34004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87E65" w:rsidRDefault="005556B9" w:rsidP="00987E65">
      <w:pPr>
        <w:rPr>
          <w:rFonts w:asciiTheme="majorHAnsi" w:hAnsiTheme="majorHAnsi"/>
          <w:b/>
        </w:rPr>
      </w:pPr>
      <w:r>
        <w:rPr>
          <w:rFonts w:asciiTheme="majorHAnsi" w:hAnsiTheme="majorHAnsi"/>
          <w:b/>
        </w:rPr>
        <w:t>Figure 3</w:t>
      </w:r>
    </w:p>
    <w:p w:rsidR="00987E65" w:rsidRDefault="005556B9" w:rsidP="00987E65">
      <w:pPr>
        <w:rPr>
          <w:rFonts w:asciiTheme="majorHAnsi" w:hAnsiTheme="majorHAnsi"/>
          <w:b/>
          <w:sz w:val="28"/>
          <w:szCs w:val="28"/>
        </w:rPr>
      </w:pPr>
      <w:r>
        <w:rPr>
          <w:rFonts w:asciiTheme="majorHAnsi" w:hAnsiTheme="majorHAnsi"/>
          <w:b/>
          <w:sz w:val="28"/>
          <w:szCs w:val="28"/>
        </w:rPr>
        <w:t>Nitrogen Usage</w:t>
      </w:r>
    </w:p>
    <w:p w:rsidR="005556B9" w:rsidRDefault="00056B8C" w:rsidP="00987E65">
      <w:pPr>
        <w:rPr>
          <w:rFonts w:asciiTheme="majorHAnsi" w:hAnsiTheme="majorHAnsi"/>
        </w:rPr>
      </w:pPr>
      <w:r>
        <w:rPr>
          <w:rFonts w:asciiTheme="majorHAnsi" w:hAnsiTheme="majorHAnsi"/>
        </w:rPr>
        <w:t>The overall nit</w:t>
      </w:r>
      <w:r w:rsidR="00961F1B">
        <w:rPr>
          <w:rFonts w:asciiTheme="majorHAnsi" w:hAnsiTheme="majorHAnsi"/>
        </w:rPr>
        <w:t>rogen use reported shows that producers put on an average of 201.8 lbs. of nitrogen per acre (Figure 4).  That was 30 lbs. per acre over the UNL recommended amount and resulted in a -.9 bushels per acre difference in expected vs. actual yield (Figure 5).  The largest amounts of nitrogen were applied to corn after a previous specialty crop</w:t>
      </w:r>
      <w:r w:rsidR="00907EDE">
        <w:rPr>
          <w:rFonts w:asciiTheme="majorHAnsi" w:hAnsiTheme="majorHAnsi"/>
        </w:rPr>
        <w:t xml:space="preserve"> (218.6 #/ac), </w:t>
      </w:r>
      <w:r w:rsidR="00961F1B">
        <w:rPr>
          <w:rFonts w:asciiTheme="majorHAnsi" w:hAnsiTheme="majorHAnsi"/>
        </w:rPr>
        <w:t>followed by corn-on-corn acres</w:t>
      </w:r>
      <w:r w:rsidR="00F6543B">
        <w:rPr>
          <w:rFonts w:asciiTheme="majorHAnsi" w:hAnsiTheme="majorHAnsi"/>
        </w:rPr>
        <w:t xml:space="preserve"> (209.6 #/ac) (Figure 4).  The largest amount of nitrogen applied over the UNL recommended amount was on corn-on-soybean acres (43.835 #/ac)</w:t>
      </w:r>
      <w:r w:rsidR="002619AD">
        <w:rPr>
          <w:rFonts w:asciiTheme="majorHAnsi" w:hAnsiTheme="majorHAnsi"/>
        </w:rPr>
        <w:t xml:space="preserve"> followed by corn-on-specialty crop acres (37.5 #/ac) (Figure 5).  Thus, the over application of nitrogen is not resulting in significant increases in yield.  An emerging trend in the 2015 and 2016 data </w:t>
      </w:r>
      <w:r w:rsidR="00B62A4D">
        <w:rPr>
          <w:rFonts w:asciiTheme="majorHAnsi" w:hAnsiTheme="majorHAnsi"/>
        </w:rPr>
        <w:t>is the significant over application of nitrogen to corn-on-soybean acres with no significant increase in yield.</w:t>
      </w:r>
      <w:r w:rsidR="00D770CB">
        <w:rPr>
          <w:rFonts w:asciiTheme="majorHAnsi" w:hAnsiTheme="majorHAnsi"/>
        </w:rPr>
        <w:t xml:space="preserve">  </w:t>
      </w:r>
    </w:p>
    <w:p w:rsidR="00E67512" w:rsidRDefault="00E67512" w:rsidP="00987E65">
      <w:pPr>
        <w:rPr>
          <w:rFonts w:asciiTheme="majorHAnsi" w:hAnsiTheme="majorHAnsi"/>
        </w:rPr>
      </w:pPr>
      <w:r>
        <w:rPr>
          <w:rFonts w:asciiTheme="majorHAnsi" w:hAnsiTheme="majorHAnsi"/>
        </w:rPr>
        <w:t>Also, 75% of reporting producers are applying nitrogen over the UNL recommended rate (Figure 6).  Of this percentage, only 27% are applying more than 50# over the UNL recommendation.</w:t>
      </w:r>
    </w:p>
    <w:p w:rsidR="00E67512" w:rsidRDefault="00E67512" w:rsidP="00987E65">
      <w:pPr>
        <w:rPr>
          <w:rFonts w:asciiTheme="majorHAnsi" w:hAnsiTheme="majorHAnsi"/>
        </w:rPr>
      </w:pPr>
    </w:p>
    <w:p w:rsidR="00E67512" w:rsidRDefault="00E67512" w:rsidP="00987E65">
      <w:pPr>
        <w:rPr>
          <w:rFonts w:asciiTheme="majorHAnsi" w:hAnsiTheme="majorHAnsi"/>
        </w:rPr>
      </w:pPr>
      <w:r w:rsidRPr="00E67512">
        <w:rPr>
          <w:rFonts w:asciiTheme="majorHAnsi" w:hAnsiTheme="majorHAnsi"/>
          <w:noProof/>
        </w:rPr>
        <w:drawing>
          <wp:inline distT="0" distB="0" distL="0" distR="0">
            <wp:extent cx="6467475" cy="3003550"/>
            <wp:effectExtent l="19050" t="0" r="9525"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7512" w:rsidRPr="00452866" w:rsidRDefault="00E67512" w:rsidP="00E67512">
      <w:pPr>
        <w:rPr>
          <w:rFonts w:asciiTheme="majorHAnsi" w:hAnsiTheme="majorHAnsi"/>
        </w:rPr>
      </w:pPr>
      <w:r w:rsidRPr="00E67512">
        <w:rPr>
          <w:rFonts w:asciiTheme="majorHAnsi" w:hAnsiTheme="majorHAnsi"/>
          <w:b/>
        </w:rPr>
        <w:t>Figure 4</w:t>
      </w:r>
      <w:r w:rsidR="00452866">
        <w:rPr>
          <w:rFonts w:asciiTheme="majorHAnsi" w:hAnsiTheme="majorHAnsi"/>
          <w:b/>
        </w:rPr>
        <w:t xml:space="preserve">   </w:t>
      </w:r>
      <w:r w:rsidR="00452866">
        <w:rPr>
          <w:rFonts w:asciiTheme="majorHAnsi" w:hAnsiTheme="majorHAnsi"/>
        </w:rPr>
        <w:t xml:space="preserve">The crop reporting data shows that the UNL recommended nitrogen rates are most likely rates that are past the point of diminishing returns, as evidenced by the decreased nitrogen efficiency.  </w:t>
      </w:r>
    </w:p>
    <w:p w:rsidR="00E67512" w:rsidRDefault="00E67512" w:rsidP="00E67512">
      <w:pPr>
        <w:rPr>
          <w:rFonts w:asciiTheme="majorHAnsi" w:hAnsiTheme="majorHAnsi"/>
          <w:b/>
        </w:rPr>
      </w:pPr>
    </w:p>
    <w:p w:rsidR="00E67512" w:rsidRDefault="00E67512" w:rsidP="00E67512">
      <w:pPr>
        <w:rPr>
          <w:rFonts w:asciiTheme="majorHAnsi" w:hAnsiTheme="majorHAnsi"/>
          <w:b/>
        </w:rPr>
      </w:pPr>
      <w:r w:rsidRPr="00E67512">
        <w:rPr>
          <w:rFonts w:asciiTheme="majorHAnsi" w:hAnsiTheme="majorHAnsi"/>
          <w:b/>
          <w:noProof/>
        </w:rPr>
        <w:drawing>
          <wp:inline distT="0" distB="0" distL="0" distR="0">
            <wp:extent cx="6553200" cy="388620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7512" w:rsidRPr="00D770CB" w:rsidRDefault="00E67512" w:rsidP="00E67512">
      <w:pPr>
        <w:rPr>
          <w:rFonts w:asciiTheme="majorHAnsi" w:hAnsiTheme="majorHAnsi"/>
        </w:rPr>
      </w:pPr>
      <w:r w:rsidRPr="00E67512">
        <w:rPr>
          <w:rFonts w:asciiTheme="majorHAnsi" w:hAnsiTheme="majorHAnsi"/>
          <w:b/>
        </w:rPr>
        <w:t>Figure 5</w:t>
      </w:r>
      <w:r w:rsidR="00D770CB">
        <w:rPr>
          <w:rFonts w:asciiTheme="majorHAnsi" w:hAnsiTheme="majorHAnsi"/>
          <w:b/>
        </w:rPr>
        <w:t xml:space="preserve">   </w:t>
      </w:r>
      <w:r w:rsidR="00D770CB">
        <w:rPr>
          <w:rFonts w:asciiTheme="majorHAnsi" w:hAnsiTheme="majorHAnsi"/>
        </w:rPr>
        <w:t>The averages of 547 (70,000 acres)</w:t>
      </w:r>
      <w:r w:rsidR="00452866">
        <w:rPr>
          <w:rFonts w:asciiTheme="majorHAnsi" w:hAnsiTheme="majorHAnsi"/>
        </w:rPr>
        <w:t xml:space="preserve"> irrigated corn fields show</w:t>
      </w:r>
      <w:r w:rsidR="00D770CB">
        <w:rPr>
          <w:rFonts w:asciiTheme="majorHAnsi" w:hAnsiTheme="majorHAnsi"/>
        </w:rPr>
        <w:t xml:space="preserve"> no significant advantage in actual yield over expected yield when you apply more than the UNL recommended amount of nitrogen.</w:t>
      </w:r>
      <w:r w:rsidR="00452866">
        <w:rPr>
          <w:rFonts w:asciiTheme="majorHAnsi" w:hAnsiTheme="majorHAnsi"/>
        </w:rPr>
        <w:t xml:space="preserve">  </w:t>
      </w:r>
    </w:p>
    <w:p w:rsidR="00D770CB" w:rsidRDefault="00D770CB" w:rsidP="00E67512">
      <w:pPr>
        <w:rPr>
          <w:rFonts w:asciiTheme="majorHAnsi" w:hAnsiTheme="majorHAnsi"/>
          <w:b/>
        </w:rPr>
      </w:pPr>
    </w:p>
    <w:p w:rsidR="00D770CB" w:rsidRDefault="00D770CB" w:rsidP="00E67512">
      <w:pPr>
        <w:rPr>
          <w:rFonts w:asciiTheme="majorHAnsi" w:hAnsiTheme="majorHAnsi"/>
          <w:b/>
        </w:rPr>
      </w:pPr>
      <w:r w:rsidRPr="00D770CB">
        <w:rPr>
          <w:rFonts w:asciiTheme="majorHAnsi" w:hAnsiTheme="majorHAnsi"/>
          <w:b/>
          <w:noProof/>
        </w:rPr>
        <w:drawing>
          <wp:inline distT="0" distB="0" distL="0" distR="0">
            <wp:extent cx="6467475" cy="4552950"/>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70CB" w:rsidRDefault="00D770CB" w:rsidP="00D770CB">
      <w:pPr>
        <w:rPr>
          <w:rFonts w:asciiTheme="majorHAnsi" w:hAnsiTheme="majorHAnsi"/>
        </w:rPr>
      </w:pPr>
      <w:r w:rsidRPr="00D770CB">
        <w:rPr>
          <w:rFonts w:asciiTheme="majorHAnsi" w:hAnsiTheme="majorHAnsi"/>
          <w:b/>
        </w:rPr>
        <w:t>Figure 6</w:t>
      </w:r>
      <w:r>
        <w:rPr>
          <w:rFonts w:asciiTheme="majorHAnsi" w:hAnsiTheme="majorHAnsi"/>
          <w:b/>
        </w:rPr>
        <w:t xml:space="preserve">  </w:t>
      </w:r>
      <w:r w:rsidR="00E841DE">
        <w:rPr>
          <w:rFonts w:asciiTheme="majorHAnsi" w:hAnsiTheme="majorHAnsi"/>
          <w:b/>
        </w:rPr>
        <w:t xml:space="preserve"> </w:t>
      </w:r>
      <w:r w:rsidR="00E841DE">
        <w:rPr>
          <w:rFonts w:asciiTheme="majorHAnsi" w:hAnsiTheme="majorHAnsi"/>
        </w:rPr>
        <w:t>While the percentage of fields using over the UNL recommended nitrogen rate has decreased from 92% in 2013</w:t>
      </w:r>
      <w:r w:rsidR="008319B4">
        <w:rPr>
          <w:rFonts w:asciiTheme="majorHAnsi" w:hAnsiTheme="majorHAnsi"/>
        </w:rPr>
        <w:t xml:space="preserve"> to 75% in 2016</w:t>
      </w:r>
      <w:r w:rsidR="00E841DE">
        <w:rPr>
          <w:rFonts w:asciiTheme="majorHAnsi" w:hAnsiTheme="majorHAnsi"/>
        </w:rPr>
        <w:t>, the total nitrogen applied has continued to increase</w:t>
      </w:r>
      <w:r w:rsidR="008319B4">
        <w:rPr>
          <w:rFonts w:asciiTheme="majorHAnsi" w:hAnsiTheme="majorHAnsi"/>
        </w:rPr>
        <w:t xml:space="preserve"> (+16 #/acre)</w:t>
      </w:r>
      <w:r w:rsidR="00E841DE">
        <w:rPr>
          <w:rFonts w:asciiTheme="majorHAnsi" w:hAnsiTheme="majorHAnsi"/>
        </w:rPr>
        <w:t xml:space="preserve"> due mainly to increased yields</w:t>
      </w:r>
      <w:r w:rsidR="008319B4">
        <w:rPr>
          <w:rFonts w:asciiTheme="majorHAnsi" w:hAnsiTheme="majorHAnsi"/>
        </w:rPr>
        <w:t xml:space="preserve"> (18 bu./acre).  Also in 2013, 27% of fields received more than 100#/acre of nitrogen over the UNL recommendation.  In 2016 27% had used more than 50#/acre of nitrogen over the UNL recommendation. </w:t>
      </w:r>
    </w:p>
    <w:p w:rsidR="00907EDE" w:rsidRDefault="00907EDE" w:rsidP="00D770CB">
      <w:pPr>
        <w:rPr>
          <w:rFonts w:asciiTheme="majorHAnsi" w:hAnsiTheme="majorHAnsi"/>
        </w:rPr>
      </w:pPr>
    </w:p>
    <w:p w:rsidR="00907EDE" w:rsidRPr="00E841DE" w:rsidRDefault="00907EDE" w:rsidP="00D770CB">
      <w:pPr>
        <w:rPr>
          <w:rFonts w:asciiTheme="majorHAnsi" w:hAnsiTheme="majorHAnsi"/>
        </w:rPr>
      </w:pPr>
    </w:p>
    <w:sectPr w:rsidR="00907EDE" w:rsidRPr="00E841DE" w:rsidSect="00987E65">
      <w:pgSz w:w="12240" w:h="15840"/>
      <w:pgMar w:top="1152"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7E65"/>
    <w:rsid w:val="00056B8C"/>
    <w:rsid w:val="001C59DA"/>
    <w:rsid w:val="002619AD"/>
    <w:rsid w:val="00315AC8"/>
    <w:rsid w:val="00361430"/>
    <w:rsid w:val="00440C18"/>
    <w:rsid w:val="00452866"/>
    <w:rsid w:val="005305F7"/>
    <w:rsid w:val="005556B9"/>
    <w:rsid w:val="0063441D"/>
    <w:rsid w:val="007611C7"/>
    <w:rsid w:val="007D5790"/>
    <w:rsid w:val="008319B4"/>
    <w:rsid w:val="00907EDE"/>
    <w:rsid w:val="00961F1B"/>
    <w:rsid w:val="00987E65"/>
    <w:rsid w:val="00A04794"/>
    <w:rsid w:val="00A4635D"/>
    <w:rsid w:val="00AA2603"/>
    <w:rsid w:val="00AB0E63"/>
    <w:rsid w:val="00B62A4D"/>
    <w:rsid w:val="00CB3AB2"/>
    <w:rsid w:val="00D770CB"/>
    <w:rsid w:val="00E43DDF"/>
    <w:rsid w:val="00E67512"/>
    <w:rsid w:val="00E841DE"/>
    <w:rsid w:val="00F6543B"/>
    <w:rsid w:val="00FC1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3" Type="http://schemas.openxmlformats.org/officeDocument/2006/relationships/webSettings" Target="webSettings.xml"/><Relationship Id="rId7" Type="http://schemas.openxmlformats.org/officeDocument/2006/relationships/chart" Target="charts/chart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theme" Target="theme/theme1.xml"/><Relationship Id="rId5" Type="http://schemas.openxmlformats.org/officeDocument/2006/relationships/chart" Target="charts/chart2.xml"/><Relationship Id="rId10" Type="http://schemas.openxmlformats.org/officeDocument/2006/relationships/fontTable" Target="fontTable.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nnrd1\Documents\Water%20Coordinator%20Stuff\Crop_reports\2016_Report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nnrd1\Documents\Water%20Coordinator%20Stuff\Crop_reports\2016_Report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nnrd1\Documents\Water%20Coordinator%20Stuff\Crop_reports\2016_Report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nnrd1\Documents\Water%20Coordinator%20Stuff\Crop_reports\2016_Report_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nnrd1\Documents\Water%20Coordinator%20Stuff\Crop_reports\2016_Report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nnrd1\Documents\Water%20Coordinator%20Stuff\Crop_reports\2016_Report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a:pPr>
            <a:r>
              <a:rPr lang="en-US"/>
              <a:t>2016 Reported Acres</a:t>
            </a:r>
          </a:p>
        </c:rich>
      </c:tx>
    </c:title>
    <c:plotArea>
      <c:layout/>
      <c:pieChart>
        <c:varyColors val="1"/>
        <c:ser>
          <c:idx val="0"/>
          <c:order val="0"/>
          <c:dLbls>
            <c:txPr>
              <a:bodyPr/>
              <a:lstStyle/>
              <a:p>
                <a:pPr>
                  <a:defRPr b="1"/>
                </a:pPr>
                <a:endParaRPr lang="en-US"/>
              </a:p>
            </c:txPr>
            <c:showCatName val="1"/>
            <c:showPercent val="1"/>
          </c:dLbls>
          <c:cat>
            <c:strRef>
              <c:f>Sheet3!$A$1:$A$4</c:f>
              <c:strCache>
                <c:ptCount val="4"/>
                <c:pt idx="0">
                  <c:v>Corn</c:v>
                </c:pt>
                <c:pt idx="1">
                  <c:v>Misc. Beans</c:v>
                </c:pt>
                <c:pt idx="2">
                  <c:v>Popcorn</c:v>
                </c:pt>
                <c:pt idx="3">
                  <c:v>Soybeans</c:v>
                </c:pt>
              </c:strCache>
            </c:strRef>
          </c:cat>
          <c:val>
            <c:numRef>
              <c:f>Sheet3!$B$1:$B$4</c:f>
              <c:numCache>
                <c:formatCode>General</c:formatCode>
                <c:ptCount val="4"/>
                <c:pt idx="0">
                  <c:v>77311.58</c:v>
                </c:pt>
                <c:pt idx="1">
                  <c:v>1141.5999999999999</c:v>
                </c:pt>
                <c:pt idx="2">
                  <c:v>4557.26</c:v>
                </c:pt>
                <c:pt idx="3">
                  <c:v>27088.04</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title/>
    <c:plotArea>
      <c:layout/>
      <c:pieChart>
        <c:varyColors val="1"/>
        <c:ser>
          <c:idx val="0"/>
          <c:order val="0"/>
          <c:tx>
            <c:v>2016 Corn Report</c:v>
          </c:tx>
          <c:dLbls>
            <c:txPr>
              <a:bodyPr/>
              <a:lstStyle/>
              <a:p>
                <a:pPr>
                  <a:defRPr b="1"/>
                </a:pPr>
                <a:endParaRPr lang="en-US"/>
              </a:p>
            </c:txPr>
            <c:showCatName val="1"/>
            <c:showPercent val="1"/>
            <c:showLeaderLines val="1"/>
          </c:dLbls>
          <c:cat>
            <c:strRef>
              <c:f>Charts!$A$1:$A$3</c:f>
              <c:strCache>
                <c:ptCount val="3"/>
                <c:pt idx="0">
                  <c:v>Corn on Corn</c:v>
                </c:pt>
                <c:pt idx="1">
                  <c:v>Corn on Specialty</c:v>
                </c:pt>
                <c:pt idx="2">
                  <c:v>Corn on Soybeans</c:v>
                </c:pt>
              </c:strCache>
            </c:strRef>
          </c:cat>
          <c:val>
            <c:numRef>
              <c:f>Charts!$B$1:$B$3</c:f>
              <c:numCache>
                <c:formatCode>General</c:formatCode>
                <c:ptCount val="3"/>
                <c:pt idx="0">
                  <c:v>38791.350000000013</c:v>
                </c:pt>
                <c:pt idx="1">
                  <c:v>6153.1500000000024</c:v>
                </c:pt>
                <c:pt idx="2">
                  <c:v>25048.54</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title/>
    <c:plotArea>
      <c:layout/>
      <c:barChart>
        <c:barDir val="col"/>
        <c:grouping val="clustered"/>
        <c:ser>
          <c:idx val="0"/>
          <c:order val="0"/>
          <c:tx>
            <c:v>Irrigation water</c:v>
          </c:tx>
          <c:cat>
            <c:strRef>
              <c:f>Sheet3!$A$9:$A$12</c:f>
              <c:strCache>
                <c:ptCount val="4"/>
                <c:pt idx="0">
                  <c:v>Corn</c:v>
                </c:pt>
                <c:pt idx="1">
                  <c:v>Misc. Beans</c:v>
                </c:pt>
                <c:pt idx="2">
                  <c:v>Popcorn</c:v>
                </c:pt>
                <c:pt idx="3">
                  <c:v>Soybeans</c:v>
                </c:pt>
              </c:strCache>
            </c:strRef>
          </c:cat>
          <c:val>
            <c:numRef>
              <c:f>Sheet3!$B$9:$B$12</c:f>
              <c:numCache>
                <c:formatCode>General</c:formatCode>
                <c:ptCount val="4"/>
                <c:pt idx="0">
                  <c:v>13.908100000000001</c:v>
                </c:pt>
                <c:pt idx="1">
                  <c:v>10.879900000000006</c:v>
                </c:pt>
                <c:pt idx="2">
                  <c:v>14.350700000000021</c:v>
                </c:pt>
                <c:pt idx="3">
                  <c:v>12.860800000000006</c:v>
                </c:pt>
              </c:numCache>
            </c:numRef>
          </c:val>
        </c:ser>
        <c:axId val="137189632"/>
        <c:axId val="137216000"/>
      </c:barChart>
      <c:catAx>
        <c:axId val="137189632"/>
        <c:scaling>
          <c:orientation val="minMax"/>
        </c:scaling>
        <c:axPos val="b"/>
        <c:tickLblPos val="nextTo"/>
        <c:crossAx val="137216000"/>
        <c:crosses val="autoZero"/>
        <c:auto val="1"/>
        <c:lblAlgn val="ctr"/>
        <c:lblOffset val="100"/>
      </c:catAx>
      <c:valAx>
        <c:axId val="137216000"/>
        <c:scaling>
          <c:orientation val="minMax"/>
        </c:scaling>
        <c:axPos val="l"/>
        <c:majorGridlines/>
        <c:numFmt formatCode="General" sourceLinked="1"/>
        <c:tickLblPos val="nextTo"/>
        <c:crossAx val="137189632"/>
        <c:crosses val="autoZero"/>
        <c:crossBetween val="between"/>
      </c:valAx>
    </c:plotArea>
    <c:legend>
      <c:legendPos val="r"/>
    </c:legend>
    <c:plotVisOnly val="1"/>
  </c:chart>
  <c:txPr>
    <a:bodyPr/>
    <a:lstStyle/>
    <a:p>
      <a:pPr>
        <a:defRPr b="1"/>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2"/>
  <c:chart>
    <c:title>
      <c:tx>
        <c:rich>
          <a:bodyPr/>
          <a:lstStyle/>
          <a:p>
            <a:pPr>
              <a:defRPr/>
            </a:pPr>
            <a:r>
              <a:rPr lang="en-US"/>
              <a:t>Actual Nitrogen and Yields</a:t>
            </a:r>
          </a:p>
        </c:rich>
      </c:tx>
    </c:title>
    <c:plotArea>
      <c:layout/>
      <c:barChart>
        <c:barDir val="col"/>
        <c:grouping val="clustered"/>
        <c:ser>
          <c:idx val="0"/>
          <c:order val="0"/>
          <c:tx>
            <c:strRef>
              <c:f>Sheet3!$B$31</c:f>
              <c:strCache>
                <c:ptCount val="1"/>
                <c:pt idx="0">
                  <c:v>N Recommended</c:v>
                </c:pt>
              </c:strCache>
            </c:strRef>
          </c:tx>
          <c:cat>
            <c:strRef>
              <c:f>Sheet3!$A$32:$A$35</c:f>
              <c:strCache>
                <c:ptCount val="4"/>
                <c:pt idx="0">
                  <c:v>Corn on Corn</c:v>
                </c:pt>
                <c:pt idx="1">
                  <c:v>Corn on Specialty</c:v>
                </c:pt>
                <c:pt idx="2">
                  <c:v>Corn on Soybeans</c:v>
                </c:pt>
                <c:pt idx="3">
                  <c:v>Averages</c:v>
                </c:pt>
              </c:strCache>
            </c:strRef>
          </c:cat>
          <c:val>
            <c:numRef>
              <c:f>Sheet3!$B$32:$B$35</c:f>
              <c:numCache>
                <c:formatCode>General</c:formatCode>
                <c:ptCount val="4"/>
                <c:pt idx="0">
                  <c:v>190.2</c:v>
                </c:pt>
                <c:pt idx="1">
                  <c:v>181.1</c:v>
                </c:pt>
                <c:pt idx="2">
                  <c:v>142</c:v>
                </c:pt>
                <c:pt idx="3">
                  <c:v>171.7</c:v>
                </c:pt>
              </c:numCache>
            </c:numRef>
          </c:val>
        </c:ser>
        <c:ser>
          <c:idx val="1"/>
          <c:order val="1"/>
          <c:tx>
            <c:strRef>
              <c:f>Sheet3!$C$31</c:f>
              <c:strCache>
                <c:ptCount val="1"/>
                <c:pt idx="0">
                  <c:v>N Applied</c:v>
                </c:pt>
              </c:strCache>
            </c:strRef>
          </c:tx>
          <c:cat>
            <c:strRef>
              <c:f>Sheet3!$A$32:$A$35</c:f>
              <c:strCache>
                <c:ptCount val="4"/>
                <c:pt idx="0">
                  <c:v>Corn on Corn</c:v>
                </c:pt>
                <c:pt idx="1">
                  <c:v>Corn on Specialty</c:v>
                </c:pt>
                <c:pt idx="2">
                  <c:v>Corn on Soybeans</c:v>
                </c:pt>
                <c:pt idx="3">
                  <c:v>Averages</c:v>
                </c:pt>
              </c:strCache>
            </c:strRef>
          </c:cat>
          <c:val>
            <c:numRef>
              <c:f>Sheet3!$C$32:$C$35</c:f>
              <c:numCache>
                <c:formatCode>General</c:formatCode>
                <c:ptCount val="4"/>
                <c:pt idx="0">
                  <c:v>209.6</c:v>
                </c:pt>
                <c:pt idx="1">
                  <c:v>218.6</c:v>
                </c:pt>
                <c:pt idx="2">
                  <c:v>185.8</c:v>
                </c:pt>
                <c:pt idx="3">
                  <c:v>201.8</c:v>
                </c:pt>
              </c:numCache>
            </c:numRef>
          </c:val>
        </c:ser>
        <c:ser>
          <c:idx val="2"/>
          <c:order val="2"/>
          <c:tx>
            <c:strRef>
              <c:f>Sheet3!$D$31</c:f>
              <c:strCache>
                <c:ptCount val="1"/>
                <c:pt idx="0">
                  <c:v>Expected Yield</c:v>
                </c:pt>
              </c:strCache>
            </c:strRef>
          </c:tx>
          <c:cat>
            <c:strRef>
              <c:f>Sheet3!$A$32:$A$35</c:f>
              <c:strCache>
                <c:ptCount val="4"/>
                <c:pt idx="0">
                  <c:v>Corn on Corn</c:v>
                </c:pt>
                <c:pt idx="1">
                  <c:v>Corn on Specialty</c:v>
                </c:pt>
                <c:pt idx="2">
                  <c:v>Corn on Soybeans</c:v>
                </c:pt>
                <c:pt idx="3">
                  <c:v>Averages</c:v>
                </c:pt>
              </c:strCache>
            </c:strRef>
          </c:cat>
          <c:val>
            <c:numRef>
              <c:f>Sheet3!$D$32:$D$35</c:f>
              <c:numCache>
                <c:formatCode>General</c:formatCode>
                <c:ptCount val="4"/>
                <c:pt idx="0">
                  <c:v>229.3</c:v>
                </c:pt>
                <c:pt idx="1">
                  <c:v>225.2</c:v>
                </c:pt>
                <c:pt idx="2">
                  <c:v>225.6</c:v>
                </c:pt>
                <c:pt idx="3">
                  <c:v>227.6</c:v>
                </c:pt>
              </c:numCache>
            </c:numRef>
          </c:val>
        </c:ser>
        <c:ser>
          <c:idx val="3"/>
          <c:order val="3"/>
          <c:tx>
            <c:strRef>
              <c:f>Sheet3!$E$31</c:f>
              <c:strCache>
                <c:ptCount val="1"/>
                <c:pt idx="0">
                  <c:v>Actual Yield</c:v>
                </c:pt>
              </c:strCache>
            </c:strRef>
          </c:tx>
          <c:cat>
            <c:strRef>
              <c:f>Sheet3!$A$32:$A$35</c:f>
              <c:strCache>
                <c:ptCount val="4"/>
                <c:pt idx="0">
                  <c:v>Corn on Corn</c:v>
                </c:pt>
                <c:pt idx="1">
                  <c:v>Corn on Specialty</c:v>
                </c:pt>
                <c:pt idx="2">
                  <c:v>Corn on Soybeans</c:v>
                </c:pt>
                <c:pt idx="3">
                  <c:v>Averages</c:v>
                </c:pt>
              </c:strCache>
            </c:strRef>
          </c:cat>
          <c:val>
            <c:numRef>
              <c:f>Sheet3!$E$32:$E$35</c:f>
              <c:numCache>
                <c:formatCode>General</c:formatCode>
                <c:ptCount val="4"/>
                <c:pt idx="0">
                  <c:v>225.1</c:v>
                </c:pt>
                <c:pt idx="1">
                  <c:v>229.7</c:v>
                </c:pt>
                <c:pt idx="2">
                  <c:v>228.3</c:v>
                </c:pt>
                <c:pt idx="3">
                  <c:v>226.7</c:v>
                </c:pt>
              </c:numCache>
            </c:numRef>
          </c:val>
        </c:ser>
        <c:axId val="139683328"/>
        <c:axId val="139684864"/>
      </c:barChart>
      <c:catAx>
        <c:axId val="139683328"/>
        <c:scaling>
          <c:orientation val="minMax"/>
        </c:scaling>
        <c:axPos val="b"/>
        <c:majorTickMark val="none"/>
        <c:tickLblPos val="nextTo"/>
        <c:crossAx val="139684864"/>
        <c:crosses val="autoZero"/>
        <c:auto val="1"/>
        <c:lblAlgn val="ctr"/>
        <c:lblOffset val="100"/>
      </c:catAx>
      <c:valAx>
        <c:axId val="139684864"/>
        <c:scaling>
          <c:orientation val="minMax"/>
        </c:scaling>
        <c:axPos val="l"/>
        <c:majorGridlines/>
        <c:numFmt formatCode="General" sourceLinked="1"/>
        <c:majorTickMark val="none"/>
        <c:tickLblPos val="nextTo"/>
        <c:crossAx val="139683328"/>
        <c:crosses val="autoZero"/>
        <c:crossBetween val="between"/>
      </c:valAx>
      <c:dTable>
        <c:showHorzBorder val="1"/>
        <c:showVertBorder val="1"/>
        <c:showOutline val="1"/>
        <c:showKeys val="1"/>
        <c:txPr>
          <a:bodyPr/>
          <a:lstStyle/>
          <a:p>
            <a:pPr rtl="0">
              <a:defRPr b="1"/>
            </a:pPr>
            <a:endParaRPr lang="en-US"/>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a:t>Lbs. of N over UNL Recommended vs. Yield</a:t>
            </a:r>
          </a:p>
        </c:rich>
      </c:tx>
    </c:title>
    <c:plotArea>
      <c:layout/>
      <c:barChart>
        <c:barDir val="col"/>
        <c:grouping val="clustered"/>
        <c:ser>
          <c:idx val="0"/>
          <c:order val="0"/>
          <c:tx>
            <c:v>N Applied vs. UNL</c:v>
          </c:tx>
          <c:dLbls>
            <c:dLbl>
              <c:idx val="0"/>
              <c:tx>
                <c:rich>
                  <a:bodyPr/>
                  <a:lstStyle/>
                  <a:p>
                    <a:r>
                      <a:rPr lang="en-US" b="1"/>
                      <a:t>19.449</a:t>
                    </a:r>
                  </a:p>
                </c:rich>
              </c:tx>
              <c:showVal val="1"/>
            </c:dLbl>
            <c:dLbl>
              <c:idx val="2"/>
              <c:tx>
                <c:rich>
                  <a:bodyPr/>
                  <a:lstStyle/>
                  <a:p>
                    <a:r>
                      <a:rPr lang="en-US" b="1"/>
                      <a:t>43.835</a:t>
                    </a:r>
                  </a:p>
                </c:rich>
              </c:tx>
              <c:showVal val="1"/>
            </c:dLbl>
            <c:dLbl>
              <c:idx val="3"/>
              <c:tx>
                <c:rich>
                  <a:bodyPr/>
                  <a:lstStyle/>
                  <a:p>
                    <a:r>
                      <a:rPr lang="en-US" b="1"/>
                      <a:t>30.068</a:t>
                    </a:r>
                  </a:p>
                </c:rich>
              </c:tx>
              <c:showVal val="1"/>
            </c:dLbl>
            <c:txPr>
              <a:bodyPr/>
              <a:lstStyle/>
              <a:p>
                <a:pPr>
                  <a:defRPr b="1"/>
                </a:pPr>
                <a:endParaRPr lang="en-US"/>
              </a:p>
            </c:txPr>
            <c:showVal val="1"/>
          </c:dLbls>
          <c:cat>
            <c:strLit>
              <c:ptCount val="4"/>
              <c:pt idx="0">
                <c:v>Corn on Corn</c:v>
              </c:pt>
              <c:pt idx="1">
                <c:v> Corn on Specialty</c:v>
              </c:pt>
              <c:pt idx="2">
                <c:v> Corn on Soybeans</c:v>
              </c:pt>
              <c:pt idx="3">
                <c:v> All</c:v>
              </c:pt>
            </c:strLit>
          </c:cat>
          <c:val>
            <c:numRef>
              <c:f>('2016_Report N'!$J$297,'2016_Report N'!$J$350,'2016_Report N'!$J$552,'2016_Report N'!$J$554)</c:f>
              <c:numCache>
                <c:formatCode>General</c:formatCode>
                <c:ptCount val="4"/>
                <c:pt idx="0">
                  <c:v>19.44942372881356</c:v>
                </c:pt>
                <c:pt idx="1">
                  <c:v>37.5</c:v>
                </c:pt>
                <c:pt idx="2">
                  <c:v>43.835400000000021</c:v>
                </c:pt>
                <c:pt idx="3">
                  <c:v>30.068058608058635</c:v>
                </c:pt>
              </c:numCache>
            </c:numRef>
          </c:val>
        </c:ser>
        <c:ser>
          <c:idx val="1"/>
          <c:order val="1"/>
          <c:tx>
            <c:v>Yield vs. Expected</c:v>
          </c:tx>
          <c:dLbls>
            <c:dLbl>
              <c:idx val="0"/>
              <c:layout>
                <c:manualLayout>
                  <c:x val="1.6756436431847859E-2"/>
                  <c:y val="0.12288807700132395"/>
                </c:manualLayout>
              </c:layout>
              <c:tx>
                <c:rich>
                  <a:bodyPr/>
                  <a:lstStyle/>
                  <a:p>
                    <a:r>
                      <a:rPr lang="en-US" b="1"/>
                      <a:t>-4.198</a:t>
                    </a:r>
                  </a:p>
                </c:rich>
              </c:tx>
              <c:showVal val="1"/>
            </c:dLbl>
            <c:dLbl>
              <c:idx val="1"/>
              <c:layout>
                <c:manualLayout>
                  <c:x val="2.1543989698090106E-2"/>
                  <c:y val="6.1443917548068515E-3"/>
                </c:manualLayout>
              </c:layout>
              <c:tx>
                <c:rich>
                  <a:bodyPr/>
                  <a:lstStyle/>
                  <a:p>
                    <a:r>
                      <a:rPr lang="en-US" b="1"/>
                      <a:t>4.461</a:t>
                    </a:r>
                  </a:p>
                </c:rich>
              </c:tx>
              <c:showVal val="1"/>
            </c:dLbl>
            <c:dLbl>
              <c:idx val="2"/>
              <c:layout>
                <c:manualLayout>
                  <c:x val="2.3937766331211228E-2"/>
                  <c:y val="0"/>
                </c:manualLayout>
              </c:layout>
              <c:tx>
                <c:rich>
                  <a:bodyPr/>
                  <a:lstStyle/>
                  <a:p>
                    <a:r>
                      <a:rPr lang="en-US" b="1"/>
                      <a:t>2.674</a:t>
                    </a:r>
                  </a:p>
                </c:rich>
              </c:tx>
              <c:showVal val="1"/>
            </c:dLbl>
            <c:dLbl>
              <c:idx val="3"/>
              <c:layout>
                <c:manualLayout>
                  <c:x val="2.6331542964332356E-2"/>
                  <c:y val="7.9878060433237724E-2"/>
                </c:manualLayout>
              </c:layout>
              <c:tx>
                <c:rich>
                  <a:bodyPr/>
                  <a:lstStyle/>
                  <a:p>
                    <a:r>
                      <a:rPr lang="en-US" b="1"/>
                      <a:t>-0.872</a:t>
                    </a:r>
                  </a:p>
                </c:rich>
              </c:tx>
              <c:showVal val="1"/>
            </c:dLbl>
            <c:txPr>
              <a:bodyPr/>
              <a:lstStyle/>
              <a:p>
                <a:pPr>
                  <a:defRPr b="1"/>
                </a:pPr>
                <a:endParaRPr lang="en-US"/>
              </a:p>
            </c:txPr>
            <c:showVal val="1"/>
          </c:dLbls>
          <c:cat>
            <c:strLit>
              <c:ptCount val="4"/>
              <c:pt idx="0">
                <c:v>Corn on Corn</c:v>
              </c:pt>
              <c:pt idx="1">
                <c:v> Corn on Specialty</c:v>
              </c:pt>
              <c:pt idx="2">
                <c:v> Corn on Soybeans</c:v>
              </c:pt>
              <c:pt idx="3">
                <c:v> All</c:v>
              </c:pt>
            </c:strLit>
          </c:cat>
          <c:val>
            <c:numRef>
              <c:f>('2016_Report N'!$K$297,'2016_Report N'!$K$350,'2016_Report N'!$K$552,'2016_Report N'!$K$554)</c:f>
              <c:numCache>
                <c:formatCode>General</c:formatCode>
                <c:ptCount val="4"/>
                <c:pt idx="0">
                  <c:v>-4.1988474576271155</c:v>
                </c:pt>
                <c:pt idx="1">
                  <c:v>4.4613725490196074</c:v>
                </c:pt>
                <c:pt idx="2">
                  <c:v>2.6745999999999994</c:v>
                </c:pt>
                <c:pt idx="3">
                  <c:v>-0.87217948717948945</c:v>
                </c:pt>
              </c:numCache>
            </c:numRef>
          </c:val>
        </c:ser>
        <c:axId val="139712000"/>
        <c:axId val="139713536"/>
      </c:barChart>
      <c:catAx>
        <c:axId val="139712000"/>
        <c:scaling>
          <c:orientation val="minMax"/>
        </c:scaling>
        <c:axPos val="b"/>
        <c:majorTickMark val="none"/>
        <c:tickLblPos val="nextTo"/>
        <c:txPr>
          <a:bodyPr/>
          <a:lstStyle/>
          <a:p>
            <a:pPr>
              <a:defRPr b="1"/>
            </a:pPr>
            <a:endParaRPr lang="en-US"/>
          </a:p>
        </c:txPr>
        <c:crossAx val="139713536"/>
        <c:crosses val="autoZero"/>
        <c:auto val="1"/>
        <c:lblAlgn val="ctr"/>
        <c:lblOffset val="100"/>
      </c:catAx>
      <c:valAx>
        <c:axId val="139713536"/>
        <c:scaling>
          <c:orientation val="minMax"/>
        </c:scaling>
        <c:axPos val="l"/>
        <c:majorGridlines/>
        <c:numFmt formatCode="General" sourceLinked="1"/>
        <c:majorTickMark val="none"/>
        <c:tickLblPos val="nextTo"/>
        <c:crossAx val="139712000"/>
        <c:crosses val="autoZero"/>
        <c:crossBetween val="between"/>
      </c:valAx>
    </c:plotArea>
    <c:legend>
      <c:legendPos val="r"/>
      <c:txPr>
        <a:bodyPr/>
        <a:lstStyle/>
        <a:p>
          <a:pPr>
            <a:defRPr b="1"/>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1"/>
  <c:chart>
    <c:title>
      <c:tx>
        <c:rich>
          <a:bodyPr/>
          <a:lstStyle/>
          <a:p>
            <a:pPr>
              <a:defRPr/>
            </a:pPr>
            <a:r>
              <a:rPr lang="en-US"/>
              <a:t>Percent of Producers Over or Under UNL  </a:t>
            </a:r>
          </a:p>
        </c:rich>
      </c:tx>
    </c:title>
    <c:plotArea>
      <c:layout/>
      <c:pieChart>
        <c:varyColors val="1"/>
        <c:ser>
          <c:idx val="0"/>
          <c:order val="0"/>
          <c:dLbls>
            <c:dLbl>
              <c:idx val="0"/>
              <c:layout>
                <c:manualLayout>
                  <c:x val="4.8335125510192277E-2"/>
                  <c:y val="1.0693310855725278E-2"/>
                </c:manualLayout>
              </c:layout>
              <c:showCatName val="1"/>
              <c:showPercent val="1"/>
            </c:dLbl>
            <c:dLbl>
              <c:idx val="5"/>
              <c:layout>
                <c:manualLayout>
                  <c:x val="-5.0647611779805063E-2"/>
                  <c:y val="1.8409160995867736E-2"/>
                </c:manualLayout>
              </c:layout>
              <c:tx>
                <c:rich>
                  <a:bodyPr/>
                  <a:lstStyle/>
                  <a:p>
                    <a:r>
                      <a:rPr lang="en-US" b="1"/>
                      <a:t>101 - 150#
                            4%</a:t>
                    </a:r>
                  </a:p>
                </c:rich>
              </c:tx>
              <c:showCatName val="1"/>
              <c:showPercent val="1"/>
            </c:dLbl>
            <c:txPr>
              <a:bodyPr/>
              <a:lstStyle/>
              <a:p>
                <a:pPr>
                  <a:defRPr b="1"/>
                </a:pPr>
                <a:endParaRPr lang="en-US"/>
              </a:p>
            </c:txPr>
            <c:showCatName val="1"/>
            <c:showPercent val="1"/>
          </c:dLbls>
          <c:cat>
            <c:strRef>
              <c:f>Sheet3!$A$16:$A$22</c:f>
              <c:strCache>
                <c:ptCount val="7"/>
                <c:pt idx="0">
                  <c:v>&lt;-51#</c:v>
                </c:pt>
                <c:pt idx="1">
                  <c:v>&lt;-1 - -50#</c:v>
                </c:pt>
                <c:pt idx="2">
                  <c:v>0#</c:v>
                </c:pt>
                <c:pt idx="3">
                  <c:v>.1 - 50#</c:v>
                </c:pt>
                <c:pt idx="4">
                  <c:v>51 - 100#</c:v>
                </c:pt>
                <c:pt idx="5">
                  <c:v>101 - 150#</c:v>
                </c:pt>
                <c:pt idx="6">
                  <c:v>&gt;150#</c:v>
                </c:pt>
              </c:strCache>
            </c:strRef>
          </c:cat>
          <c:val>
            <c:numRef>
              <c:f>Sheet3!$B$16:$B$22</c:f>
              <c:numCache>
                <c:formatCode>General</c:formatCode>
                <c:ptCount val="7"/>
                <c:pt idx="0">
                  <c:v>9</c:v>
                </c:pt>
                <c:pt idx="1">
                  <c:v>77</c:v>
                </c:pt>
                <c:pt idx="2">
                  <c:v>50</c:v>
                </c:pt>
                <c:pt idx="3">
                  <c:v>263</c:v>
                </c:pt>
                <c:pt idx="4">
                  <c:v>123</c:v>
                </c:pt>
                <c:pt idx="5">
                  <c:v>22</c:v>
                </c:pt>
                <c:pt idx="6">
                  <c:v>2</c:v>
                </c:pt>
              </c:numCache>
            </c:numRef>
          </c:val>
        </c:ser>
        <c:ser>
          <c:idx val="1"/>
          <c:order val="1"/>
          <c:cat>
            <c:strRef>
              <c:f>Sheet3!$A$16:$A$22</c:f>
              <c:strCache>
                <c:ptCount val="7"/>
                <c:pt idx="0">
                  <c:v>&lt;-51#</c:v>
                </c:pt>
                <c:pt idx="1">
                  <c:v>&lt;-1 - -50#</c:v>
                </c:pt>
                <c:pt idx="2">
                  <c:v>0#</c:v>
                </c:pt>
                <c:pt idx="3">
                  <c:v>.1 - 50#</c:v>
                </c:pt>
                <c:pt idx="4">
                  <c:v>51 - 100#</c:v>
                </c:pt>
                <c:pt idx="5">
                  <c:v>101 - 150#</c:v>
                </c:pt>
                <c:pt idx="6">
                  <c:v>&gt;150#</c:v>
                </c:pt>
              </c:strCache>
            </c:strRef>
          </c:cat>
          <c:val>
            <c:numRef>
              <c:f>Sheet3!$C$16:$C$22</c:f>
              <c:numCache>
                <c:formatCode>General</c:formatCode>
                <c:ptCount val="7"/>
                <c:pt idx="0">
                  <c:v>-18.899999999999999</c:v>
                </c:pt>
                <c:pt idx="1">
                  <c:v>-6.1499999999999995</c:v>
                </c:pt>
                <c:pt idx="2">
                  <c:v>-3.04</c:v>
                </c:pt>
                <c:pt idx="3">
                  <c:v>-1.8800000000000001</c:v>
                </c:pt>
                <c:pt idx="4">
                  <c:v>0.1</c:v>
                </c:pt>
                <c:pt idx="5">
                  <c:v>3.77</c:v>
                </c:pt>
                <c:pt idx="6">
                  <c:v>0.5</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lnnrd1</dc:creator>
  <cp:lastModifiedBy>lnnrd2</cp:lastModifiedBy>
  <cp:revision>2</cp:revision>
  <cp:lastPrinted>2017-06-23T18:12:00Z</cp:lastPrinted>
  <dcterms:created xsi:type="dcterms:W3CDTF">2017-09-11T16:46:00Z</dcterms:created>
  <dcterms:modified xsi:type="dcterms:W3CDTF">2017-09-11T16:46:00Z</dcterms:modified>
</cp:coreProperties>
</file>